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0E81" w14:textId="07560F0E" w:rsidR="00CB3745" w:rsidRPr="0058528C" w:rsidRDefault="00CB3745" w:rsidP="0058528C">
      <w:pPr>
        <w:widowControl w:val="0"/>
        <w:autoSpaceDE w:val="0"/>
        <w:autoSpaceDN w:val="0"/>
        <w:adjustRightInd w:val="0"/>
        <w:spacing w:after="231"/>
        <w:jc w:val="center"/>
        <w:rPr>
          <w:rFonts w:cs="Calibri"/>
          <w:b/>
          <w:bCs/>
          <w:color w:val="343434"/>
          <w:sz w:val="22"/>
          <w:szCs w:val="22"/>
        </w:rPr>
      </w:pPr>
      <w:r w:rsidRPr="00CB3745">
        <w:rPr>
          <w:rFonts w:cs="Calibri"/>
          <w:b/>
          <w:bCs/>
          <w:color w:val="343434"/>
          <w:sz w:val="22"/>
          <w:szCs w:val="22"/>
        </w:rPr>
        <w:t>CCGHR/ICDR Theme Group on Inclusion and Disability</w:t>
      </w:r>
      <w:bookmarkStart w:id="0" w:name="_GoBack"/>
      <w:bookmarkEnd w:id="0"/>
    </w:p>
    <w:p w14:paraId="74F92E85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13"/>
        <w:rPr>
          <w:rFonts w:cs="Calibri"/>
          <w:b/>
          <w:bCs/>
          <w:color w:val="343434"/>
          <w:sz w:val="22"/>
          <w:szCs w:val="22"/>
        </w:rPr>
      </w:pPr>
      <w:r>
        <w:rPr>
          <w:rFonts w:cs="Calibri"/>
          <w:b/>
          <w:bCs/>
          <w:color w:val="343434"/>
          <w:sz w:val="22"/>
          <w:szCs w:val="22"/>
        </w:rPr>
        <w:t>Background</w:t>
      </w:r>
    </w:p>
    <w:p w14:paraId="167AA559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88"/>
        <w:rPr>
          <w:rFonts w:cs="Arial"/>
          <w:color w:val="262626"/>
          <w:sz w:val="22"/>
          <w:szCs w:val="22"/>
        </w:rPr>
      </w:pPr>
      <w:r w:rsidRPr="00CB3745">
        <w:rPr>
          <w:rFonts w:cs="Arial"/>
          <w:color w:val="262626"/>
          <w:sz w:val="22"/>
          <w:szCs w:val="22"/>
        </w:rPr>
        <w:t xml:space="preserve">On 15 November 2011, the International Centre for Disability (ICDR) and the Canadian Coalition for Global Health Research (CCGHR) co-hosted an open meeting at the 2011 Global Health Conference in Montreal to bring together people with a shared interest in global health research issues related to disability and rehabilitation.  Approximately </w:t>
      </w:r>
      <w:proofErr w:type="gramStart"/>
      <w:r w:rsidRPr="00CB3745">
        <w:rPr>
          <w:rFonts w:cs="Arial"/>
          <w:color w:val="262626"/>
          <w:sz w:val="22"/>
          <w:szCs w:val="22"/>
        </w:rPr>
        <w:t>two dozen</w:t>
      </w:r>
      <w:proofErr w:type="gramEnd"/>
      <w:r w:rsidRPr="00CB3745">
        <w:rPr>
          <w:rFonts w:cs="Arial"/>
          <w:color w:val="262626"/>
          <w:sz w:val="22"/>
          <w:szCs w:val="22"/>
        </w:rPr>
        <w:t xml:space="preserve"> people participated in this meeting with enthusiasm to generate further action to advance these issues.  A decision was taken to formally launch the “Theme Group on Inclusion and Disability”.  A subset of the meeting participants agreed to prepare a synthesis of ideas to advance this group, which was discussed at the Skype teleconference on 9 December 2011, and modified into the ideas below.</w:t>
      </w:r>
    </w:p>
    <w:p w14:paraId="7A25F2B6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13"/>
        <w:rPr>
          <w:rFonts w:cs="Calibri"/>
          <w:b/>
          <w:bCs/>
          <w:color w:val="343434"/>
          <w:sz w:val="22"/>
          <w:szCs w:val="22"/>
        </w:rPr>
      </w:pPr>
      <w:r w:rsidRPr="00CB3745">
        <w:rPr>
          <w:rFonts w:cs="Calibri"/>
          <w:b/>
          <w:bCs/>
          <w:color w:val="343434"/>
          <w:sz w:val="22"/>
          <w:szCs w:val="22"/>
        </w:rPr>
        <w:t>What is the Theme Group on Inclusion and Disability?</w:t>
      </w:r>
    </w:p>
    <w:p w14:paraId="1CDD36D7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88"/>
        <w:rPr>
          <w:rFonts w:cs="Arial"/>
          <w:color w:val="262626"/>
          <w:sz w:val="22"/>
          <w:szCs w:val="22"/>
        </w:rPr>
      </w:pPr>
      <w:proofErr w:type="gramStart"/>
      <w:r w:rsidRPr="00CB3745">
        <w:rPr>
          <w:rFonts w:cs="Arial"/>
          <w:color w:val="262626"/>
          <w:sz w:val="22"/>
          <w:szCs w:val="22"/>
        </w:rPr>
        <w:t xml:space="preserve">A network of </w:t>
      </w:r>
      <w:r w:rsidR="00FF78E8">
        <w:rPr>
          <w:rFonts w:cs="Arial"/>
          <w:color w:val="262626"/>
          <w:sz w:val="22"/>
          <w:szCs w:val="22"/>
        </w:rPr>
        <w:t>people interested in how research</w:t>
      </w:r>
      <w:r w:rsidRPr="00CB3745">
        <w:rPr>
          <w:rFonts w:cs="Arial"/>
          <w:color w:val="262626"/>
          <w:sz w:val="22"/>
          <w:szCs w:val="22"/>
        </w:rPr>
        <w:t xml:space="preserve"> can advance global issues in disability, inclusion and rehabilitation</w:t>
      </w:r>
      <w:r w:rsidR="00FF78E8">
        <w:rPr>
          <w:rFonts w:cs="Arial"/>
          <w:color w:val="262626"/>
          <w:sz w:val="22"/>
          <w:szCs w:val="22"/>
        </w:rPr>
        <w:t>.</w:t>
      </w:r>
      <w:proofErr w:type="gramEnd"/>
      <w:r w:rsidR="00FF78E8">
        <w:rPr>
          <w:rFonts w:cs="Arial"/>
          <w:color w:val="262626"/>
          <w:sz w:val="22"/>
          <w:szCs w:val="22"/>
        </w:rPr>
        <w:t xml:space="preserve"> </w:t>
      </w:r>
      <w:r w:rsidR="00FF78E8" w:rsidRPr="00CB3745">
        <w:rPr>
          <w:rFonts w:cs="Arial"/>
          <w:color w:val="262626"/>
          <w:sz w:val="22"/>
          <w:szCs w:val="22"/>
        </w:rPr>
        <w:t>Note that “research” is understood broadly to include not only the creation of knowledge, but also use of knowledge including evidence-informed advocacy.</w:t>
      </w:r>
    </w:p>
    <w:p w14:paraId="6D8DA05B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13"/>
        <w:rPr>
          <w:rFonts w:cs="Calibri"/>
          <w:b/>
          <w:bCs/>
          <w:color w:val="343434"/>
          <w:sz w:val="22"/>
          <w:szCs w:val="22"/>
        </w:rPr>
      </w:pPr>
      <w:r w:rsidRPr="00CB3745">
        <w:rPr>
          <w:rFonts w:cs="Calibri"/>
          <w:b/>
          <w:bCs/>
          <w:color w:val="343434"/>
          <w:sz w:val="22"/>
          <w:szCs w:val="22"/>
        </w:rPr>
        <w:t>Who is involved?</w:t>
      </w:r>
    </w:p>
    <w:p w14:paraId="6D4DC37C" w14:textId="075E8EA6" w:rsidR="00CB3745" w:rsidRPr="00CB3745" w:rsidRDefault="00CB3745" w:rsidP="00CB3745">
      <w:pPr>
        <w:widowControl w:val="0"/>
        <w:autoSpaceDE w:val="0"/>
        <w:autoSpaceDN w:val="0"/>
        <w:adjustRightInd w:val="0"/>
        <w:spacing w:after="288"/>
        <w:rPr>
          <w:rFonts w:cs="Arial"/>
          <w:color w:val="262626"/>
          <w:sz w:val="22"/>
          <w:szCs w:val="22"/>
        </w:rPr>
      </w:pPr>
      <w:r w:rsidRPr="00CB3745">
        <w:rPr>
          <w:rFonts w:cs="Arial"/>
          <w:color w:val="262626"/>
          <w:sz w:val="22"/>
          <w:szCs w:val="22"/>
        </w:rPr>
        <w:t xml:space="preserve">This is an open network that welcomes people with disabilities, people working with </w:t>
      </w:r>
      <w:r w:rsidR="0058528C">
        <w:rPr>
          <w:rFonts w:cs="Arial"/>
          <w:color w:val="262626"/>
          <w:sz w:val="22"/>
          <w:szCs w:val="22"/>
        </w:rPr>
        <w:t>disabled people’s organizations (</w:t>
      </w:r>
      <w:r w:rsidRPr="00CB3745">
        <w:rPr>
          <w:rFonts w:cs="Arial"/>
          <w:color w:val="262626"/>
          <w:sz w:val="22"/>
          <w:szCs w:val="22"/>
        </w:rPr>
        <w:t>DPOs</w:t>
      </w:r>
      <w:r w:rsidR="0058528C">
        <w:rPr>
          <w:rFonts w:cs="Arial"/>
          <w:color w:val="262626"/>
          <w:sz w:val="22"/>
          <w:szCs w:val="22"/>
        </w:rPr>
        <w:t>)</w:t>
      </w:r>
      <w:r w:rsidRPr="00CB3745">
        <w:rPr>
          <w:rFonts w:cs="Arial"/>
          <w:color w:val="262626"/>
          <w:sz w:val="22"/>
          <w:szCs w:val="22"/>
        </w:rPr>
        <w:t>, researchers, students, clinicians, policy-makers and others in government, people working in civil society orgs/NGOs, and anyone else who shares this interest.</w:t>
      </w:r>
    </w:p>
    <w:p w14:paraId="5B5152C6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13"/>
        <w:rPr>
          <w:rFonts w:cs="Calibri"/>
          <w:b/>
          <w:bCs/>
          <w:color w:val="343434"/>
          <w:sz w:val="22"/>
          <w:szCs w:val="22"/>
        </w:rPr>
      </w:pPr>
      <w:r w:rsidRPr="00CB3745">
        <w:rPr>
          <w:rFonts w:cs="Calibri"/>
          <w:b/>
          <w:bCs/>
          <w:color w:val="343434"/>
          <w:sz w:val="22"/>
          <w:szCs w:val="22"/>
        </w:rPr>
        <w:t>What does the network aim to do?</w:t>
      </w:r>
    </w:p>
    <w:p w14:paraId="59E150F7" w14:textId="77777777" w:rsidR="00CB3745" w:rsidRPr="00CB3745" w:rsidRDefault="00CB3745" w:rsidP="00CB374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Facilitate connections and collaboration among people and organizations in order to produce, use, disseminate and advocate for research on inclusion, disability and rehabilitation in the context of global health</w:t>
      </w:r>
    </w:p>
    <w:p w14:paraId="33EC082C" w14:textId="77777777" w:rsidR="00CB3745" w:rsidRPr="00CB3745" w:rsidRDefault="00CB3745" w:rsidP="00CB374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Act as a space to participate for people with interest in these issues and a gateway for those who may be new to the topic</w:t>
      </w:r>
    </w:p>
    <w:p w14:paraId="01023DCE" w14:textId="77777777" w:rsidR="00CB3745" w:rsidRDefault="00CB3745" w:rsidP="00CB374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Share information, ideas and opportunities arising in this field</w:t>
      </w:r>
    </w:p>
    <w:p w14:paraId="4E09B5B1" w14:textId="77777777" w:rsidR="00CB3745" w:rsidRPr="00CB3745" w:rsidRDefault="00CB3745" w:rsidP="00CB374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  <w:color w:val="262626"/>
          <w:sz w:val="22"/>
          <w:szCs w:val="22"/>
        </w:rPr>
      </w:pPr>
    </w:p>
    <w:p w14:paraId="2400B12C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13"/>
        <w:rPr>
          <w:rFonts w:cs="Calibri"/>
          <w:b/>
          <w:bCs/>
          <w:color w:val="343434"/>
          <w:sz w:val="22"/>
          <w:szCs w:val="22"/>
        </w:rPr>
      </w:pPr>
      <w:r w:rsidRPr="00CB3745">
        <w:rPr>
          <w:rFonts w:cs="Calibri"/>
          <w:b/>
          <w:bCs/>
          <w:color w:val="343434"/>
          <w:sz w:val="22"/>
          <w:szCs w:val="22"/>
        </w:rPr>
        <w:t>What is the structure of the Theme Group on Inclusion and Disability?</w:t>
      </w:r>
    </w:p>
    <w:p w14:paraId="49999B9B" w14:textId="5193243C" w:rsidR="00CB3745" w:rsidRPr="00CB3745" w:rsidRDefault="00CB3745" w:rsidP="00CB37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The Theme Group has a broad membership open to anyone interested in these aims</w:t>
      </w:r>
      <w:r w:rsidR="0058528C">
        <w:rPr>
          <w:rFonts w:cs="Calibri"/>
          <w:color w:val="262626"/>
          <w:sz w:val="22"/>
          <w:szCs w:val="22"/>
        </w:rPr>
        <w:t xml:space="preserve">. </w:t>
      </w:r>
    </w:p>
    <w:p w14:paraId="24F3731C" w14:textId="77777777" w:rsidR="00CB3745" w:rsidRDefault="00CB3745" w:rsidP="00CB37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262626"/>
          <w:sz w:val="22"/>
          <w:szCs w:val="22"/>
        </w:rPr>
      </w:pPr>
    </w:p>
    <w:p w14:paraId="437FBC52" w14:textId="26727EB1" w:rsidR="00CB3745" w:rsidRDefault="0058528C" w:rsidP="005852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The co-chairs are </w:t>
      </w:r>
      <w:hyperlink r:id="rId6" w:history="1">
        <w:r w:rsidRPr="0058528C">
          <w:rPr>
            <w:rStyle w:val="Hyperlink"/>
            <w:rFonts w:cs="Calibri"/>
            <w:sz w:val="22"/>
            <w:szCs w:val="22"/>
          </w:rPr>
          <w:t>Alexis Davis</w:t>
        </w:r>
      </w:hyperlink>
      <w:r>
        <w:rPr>
          <w:rFonts w:cs="Calibri"/>
          <w:color w:val="262626"/>
          <w:sz w:val="22"/>
          <w:szCs w:val="22"/>
        </w:rPr>
        <w:t xml:space="preserve"> and </w:t>
      </w:r>
      <w:hyperlink r:id="rId7" w:history="1">
        <w:r w:rsidRPr="0058528C">
          <w:rPr>
            <w:rStyle w:val="Hyperlink"/>
            <w:rFonts w:cs="Calibri"/>
            <w:sz w:val="22"/>
            <w:szCs w:val="22"/>
          </w:rPr>
          <w:t>Stephanie Nixon</w:t>
        </w:r>
      </w:hyperlink>
      <w:r>
        <w:rPr>
          <w:rFonts w:cs="Calibri"/>
          <w:color w:val="262626"/>
          <w:sz w:val="22"/>
          <w:szCs w:val="22"/>
        </w:rPr>
        <w:t xml:space="preserve">. </w:t>
      </w:r>
      <w:r w:rsidR="00CB3745" w:rsidRPr="00CB3745">
        <w:rPr>
          <w:rFonts w:cs="Calibri"/>
          <w:color w:val="262626"/>
          <w:sz w:val="22"/>
          <w:szCs w:val="22"/>
        </w:rPr>
        <w:t>A small working group drives the central activities of the Theme Group. Ad hoc Task Groups comprised of members advance various activities identified within the Theme Group</w:t>
      </w:r>
      <w:r>
        <w:rPr>
          <w:rFonts w:cs="Calibri"/>
          <w:color w:val="262626"/>
          <w:sz w:val="22"/>
          <w:szCs w:val="22"/>
        </w:rPr>
        <w:t>.</w:t>
      </w:r>
    </w:p>
    <w:p w14:paraId="11731E33" w14:textId="77777777" w:rsidR="0058528C" w:rsidRPr="0058528C" w:rsidRDefault="0058528C" w:rsidP="005852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262626"/>
          <w:sz w:val="22"/>
          <w:szCs w:val="22"/>
        </w:rPr>
      </w:pPr>
    </w:p>
    <w:p w14:paraId="16685DCC" w14:textId="77777777" w:rsidR="00CB3745" w:rsidRPr="00CB3745" w:rsidRDefault="00CB3745" w:rsidP="00CB3745">
      <w:pPr>
        <w:widowControl w:val="0"/>
        <w:autoSpaceDE w:val="0"/>
        <w:autoSpaceDN w:val="0"/>
        <w:adjustRightInd w:val="0"/>
        <w:spacing w:after="213"/>
        <w:rPr>
          <w:rFonts w:cs="Calibri"/>
          <w:b/>
          <w:bCs/>
          <w:color w:val="343434"/>
          <w:sz w:val="22"/>
          <w:szCs w:val="22"/>
        </w:rPr>
      </w:pPr>
      <w:r w:rsidRPr="00CB3745">
        <w:rPr>
          <w:rFonts w:cs="Calibri"/>
          <w:b/>
          <w:bCs/>
          <w:color w:val="343434"/>
          <w:sz w:val="22"/>
          <w:szCs w:val="22"/>
        </w:rPr>
        <w:t>How does the Theme Group on Inclusion and Disability communicate?</w:t>
      </w:r>
    </w:p>
    <w:p w14:paraId="3CE323F1" w14:textId="7862F4CB" w:rsidR="00CB3745" w:rsidRPr="00CB3745" w:rsidRDefault="00CB3745" w:rsidP="00CB37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 xml:space="preserve">The primary location of information for this Theme Group </w:t>
      </w:r>
      <w:r w:rsidR="0058528C">
        <w:rPr>
          <w:rFonts w:cs="Calibri"/>
          <w:color w:val="262626"/>
          <w:sz w:val="22"/>
          <w:szCs w:val="22"/>
        </w:rPr>
        <w:t xml:space="preserve">is the website of </w:t>
      </w:r>
      <w:r w:rsidRPr="00CB3745">
        <w:rPr>
          <w:rFonts w:cs="Calibri"/>
          <w:color w:val="262626"/>
          <w:sz w:val="22"/>
          <w:szCs w:val="22"/>
        </w:rPr>
        <w:t>ICDR</w:t>
      </w:r>
    </w:p>
    <w:p w14:paraId="70E69D4E" w14:textId="77777777" w:rsidR="00CB3745" w:rsidRPr="00CB3745" w:rsidRDefault="00CB3745" w:rsidP="00CB37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The primary mode of communication among members is via e-mail and Skype</w:t>
      </w:r>
    </w:p>
    <w:p w14:paraId="5A2DA17C" w14:textId="77777777" w:rsidR="00CB3745" w:rsidRDefault="00CB3745" w:rsidP="00CB37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Additional strategies for communication may include:</w:t>
      </w:r>
    </w:p>
    <w:p w14:paraId="2398FE78" w14:textId="77777777" w:rsidR="00CB3745" w:rsidRPr="00CB3745" w:rsidRDefault="00CB3745" w:rsidP="00CB37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A Facebook page</w:t>
      </w:r>
    </w:p>
    <w:p w14:paraId="4279E152" w14:textId="3EB0B398" w:rsidR="00CB3745" w:rsidRPr="0058528C" w:rsidRDefault="00CB3745" w:rsidP="00CB3745">
      <w:pPr>
        <w:pStyle w:val="ListParagraph"/>
        <w:numPr>
          <w:ilvl w:val="0"/>
          <w:numId w:val="5"/>
        </w:numPr>
        <w:rPr>
          <w:rFonts w:cs="Calibri"/>
          <w:color w:val="262626"/>
          <w:sz w:val="22"/>
          <w:szCs w:val="22"/>
        </w:rPr>
      </w:pPr>
      <w:r w:rsidRPr="00CB3745">
        <w:rPr>
          <w:rFonts w:cs="Calibri"/>
          <w:color w:val="262626"/>
          <w:sz w:val="22"/>
          <w:szCs w:val="22"/>
        </w:rPr>
        <w:t>Lin</w:t>
      </w:r>
      <w:r w:rsidR="0058528C">
        <w:rPr>
          <w:rFonts w:cs="Calibri"/>
          <w:color w:val="262626"/>
          <w:sz w:val="22"/>
          <w:szCs w:val="22"/>
        </w:rPr>
        <w:t>ks to other pages as appropriate</w:t>
      </w:r>
    </w:p>
    <w:p w14:paraId="58C5DB88" w14:textId="77777777" w:rsidR="00DF5437" w:rsidRPr="00CB3745" w:rsidRDefault="00DF5437">
      <w:pPr>
        <w:rPr>
          <w:sz w:val="22"/>
          <w:szCs w:val="22"/>
        </w:rPr>
      </w:pPr>
    </w:p>
    <w:sectPr w:rsidR="00DF5437" w:rsidRPr="00CB3745" w:rsidSect="00CB3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7668EC6C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0F4567"/>
    <w:multiLevelType w:val="hybridMultilevel"/>
    <w:tmpl w:val="2E3E7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075C"/>
    <w:multiLevelType w:val="hybridMultilevel"/>
    <w:tmpl w:val="F2CA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45"/>
    <w:rsid w:val="001C47E3"/>
    <w:rsid w:val="0058528C"/>
    <w:rsid w:val="006F55D8"/>
    <w:rsid w:val="00CB3745"/>
    <w:rsid w:val="00DF543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3A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exis.cd@gmail.com" TargetMode="External"/><Relationship Id="rId7" Type="http://schemas.openxmlformats.org/officeDocument/2006/relationships/hyperlink" Target="mailto:stephanie.nixon@utoronto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Cameron</dc:creator>
  <cp:keywords/>
  <dc:description/>
  <cp:lastModifiedBy>Cathy Cameron</cp:lastModifiedBy>
  <cp:revision>3</cp:revision>
  <dcterms:created xsi:type="dcterms:W3CDTF">2015-07-02T20:52:00Z</dcterms:created>
  <dcterms:modified xsi:type="dcterms:W3CDTF">2015-07-02T21:07:00Z</dcterms:modified>
</cp:coreProperties>
</file>